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AE5C" w14:textId="65F798D9" w:rsidR="00C43486" w:rsidRPr="00C43486" w:rsidRDefault="00C43486" w:rsidP="0062547A">
      <w:pPr>
        <w:rPr>
          <w:color w:val="FF0000"/>
          <w:sz w:val="28"/>
          <w:szCs w:val="28"/>
        </w:rPr>
      </w:pPr>
      <w:r w:rsidRPr="00C43486">
        <w:rPr>
          <w:color w:val="FF0000"/>
          <w:sz w:val="28"/>
          <w:szCs w:val="28"/>
        </w:rPr>
        <w:t>Informationen Ladegerät BC512</w:t>
      </w:r>
    </w:p>
    <w:p w14:paraId="35E5DA66" w14:textId="77777777" w:rsidR="00C43486" w:rsidRDefault="00C43486" w:rsidP="0062547A"/>
    <w:p w14:paraId="4ECF445C" w14:textId="5CF83CCC" w:rsidR="001F5530" w:rsidRDefault="0062547A" w:rsidP="0062547A">
      <w:r>
        <w:t xml:space="preserve">Mit dieser neuen Version muss der Händler den Drucker nicht mehr haben (PQB). Ein </w:t>
      </w:r>
      <w:proofErr w:type="spellStart"/>
      <w:r w:rsidR="00C43486">
        <w:t>Qualität</w:t>
      </w:r>
      <w:r>
        <w:t>code</w:t>
      </w:r>
      <w:proofErr w:type="spellEnd"/>
      <w:r>
        <w:t xml:space="preserve"> wird auf dem Bildschirm des Ladegeräts angezeigt und auch in seinem Speicher gespeichert. Der Händler muss den Code nur im Falle eines Audits auf den Autoauslieferungspapieren vermerken.</w:t>
      </w:r>
    </w:p>
    <w:p w14:paraId="5BF6BC77" w14:textId="44D44D40" w:rsidR="0062547A" w:rsidRDefault="0062547A" w:rsidP="0062547A">
      <w:r w:rsidRPr="0062547A">
        <w:rPr>
          <w:noProof/>
        </w:rPr>
        <w:drawing>
          <wp:inline distT="0" distB="0" distL="0" distR="0" wp14:anchorId="632CBF01" wp14:editId="53013527">
            <wp:extent cx="6581775" cy="195556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073" cy="199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E76E" w14:textId="12331D15" w:rsidR="0062547A" w:rsidRDefault="00C43486" w:rsidP="0062547A">
      <w:r>
        <w:t>Es wurden</w:t>
      </w:r>
      <w:r w:rsidR="0062547A">
        <w:t xml:space="preserve"> mehrere neue Funktionen als E-XTEQ Cloud (ARGOS) entwickelt, eine kostenlose PC-Software (OPTIMUS) zum Aktualisieren und Exportieren der Ergebnisse (nur für die neue Version).</w:t>
      </w:r>
    </w:p>
    <w:p w14:paraId="5A5CA8EB" w14:textId="647E870A" w:rsidR="0062547A" w:rsidRDefault="00C43486" w:rsidP="0062547A">
      <w:r>
        <w:t>Neue</w:t>
      </w:r>
      <w:r w:rsidR="0062547A">
        <w:t xml:space="preserve"> Version von </w:t>
      </w:r>
      <w:r>
        <w:t>BC512</w:t>
      </w:r>
    </w:p>
    <w:p w14:paraId="5527E90C" w14:textId="64841F24" w:rsidR="0062547A" w:rsidRDefault="0062547A" w:rsidP="0062547A">
      <w:r w:rsidRPr="0062547A">
        <w:rPr>
          <w:noProof/>
        </w:rPr>
        <w:drawing>
          <wp:inline distT="0" distB="0" distL="0" distR="0" wp14:anchorId="4D0A596C" wp14:editId="4F0EF5CF">
            <wp:extent cx="5381625" cy="29527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B946D" w14:textId="043EA8AE" w:rsidR="0062547A" w:rsidRDefault="0062547A" w:rsidP="0062547A">
      <w:r w:rsidRPr="0062547A">
        <w:rPr>
          <w:noProof/>
        </w:rPr>
        <w:lastRenderedPageBreak/>
        <w:drawing>
          <wp:inline distT="0" distB="0" distL="0" distR="0" wp14:anchorId="30BC1290" wp14:editId="598B0838">
            <wp:extent cx="3914775" cy="29622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B1E6E" w14:textId="77591C72" w:rsidR="0062547A" w:rsidRDefault="0062547A" w:rsidP="0062547A">
      <w:r>
        <w:t>Mit dem PQB-Code auf dem Gerät können wir (endlich) den Drucker entfernen (und uns von der Unzufriedenheit auf der Netzwerkseite befreien).</w:t>
      </w:r>
    </w:p>
    <w:p w14:paraId="5EA122B6" w14:textId="1F964171" w:rsidR="0062547A" w:rsidRDefault="00C43486" w:rsidP="0062547A">
      <w:r>
        <w:t>D</w:t>
      </w:r>
      <w:r w:rsidR="0062547A">
        <w:t xml:space="preserve">as Produkt </w:t>
      </w:r>
      <w:r>
        <w:t xml:space="preserve">wurde </w:t>
      </w:r>
      <w:r w:rsidR="0062547A">
        <w:t>verbessert, um ein qualitativeres Kit zu erhalten, das Folgendes umfasst:</w:t>
      </w:r>
    </w:p>
    <w:p w14:paraId="66BD959A" w14:textId="25044A1F" w:rsidR="0062547A" w:rsidRDefault="0062547A" w:rsidP="0062547A">
      <w:r>
        <w:t>BC512-Ladegerät (mit integrierter SD-Karte zum Speichern von Parametern und ARGOS Cloud-Kompatibilität für Ergebnisse und Verschiebung (siehe unten))</w:t>
      </w:r>
    </w:p>
    <w:p w14:paraId="12212DF5" w14:textId="269354D6" w:rsidR="0062547A" w:rsidRDefault="0062547A" w:rsidP="0062547A">
      <w:r>
        <w:t xml:space="preserve"> Aluminium-Befestigungsplatte im oberen Teil mit M6-Löchern (für Werkstätten, die das Ladegerät "verschrauben" möchten) + zwei Magnete in der Box, die an der Platte befestigt werden sollen (Fortsetzung wie heute)</w:t>
      </w:r>
    </w:p>
    <w:p w14:paraId="1DECD0E5" w14:textId="2C075182" w:rsidR="0062547A" w:rsidRDefault="0062547A" w:rsidP="0062547A">
      <w:r>
        <w:t xml:space="preserve"> Filter im hinteren Bereich auf der Ebene „INPUT“ (für feuchte Umgebungen wie Brasilien)</w:t>
      </w:r>
    </w:p>
    <w:p w14:paraId="2116A035" w14:textId="61A37A72" w:rsidR="0062547A" w:rsidRDefault="0062547A" w:rsidP="0062547A">
      <w:r>
        <w:t xml:space="preserve"> Sicherheitsschlinge am Griff (wie heute)</w:t>
      </w:r>
    </w:p>
    <w:p w14:paraId="1542394D" w14:textId="2C7D1E1A" w:rsidR="0062547A" w:rsidRDefault="0062547A" w:rsidP="0062547A">
      <w:r>
        <w:t>3,5 m lange Kabel (und mehr als 2 m) mit neuen ergonomischen Hochleistungsklemmen   5 m Netzkabel</w:t>
      </w:r>
    </w:p>
    <w:p w14:paraId="6F3A01F5" w14:textId="7F02E0F5" w:rsidR="0062547A" w:rsidRDefault="0062547A" w:rsidP="0062547A">
      <w:r>
        <w:t>Neuer USB / RS232-Adapter (Monoblock) für die PC-</w:t>
      </w:r>
      <w:proofErr w:type="gramStart"/>
      <w:r>
        <w:t>Verbindung  Schnellstart</w:t>
      </w:r>
      <w:proofErr w:type="gramEnd"/>
      <w:r>
        <w:t xml:space="preserve"> A3</w:t>
      </w:r>
    </w:p>
    <w:p w14:paraId="5E957581" w14:textId="46138B52" w:rsidR="0062547A" w:rsidRDefault="0062547A" w:rsidP="0062547A">
      <w:r>
        <w:t>PQB-Code:</w:t>
      </w:r>
    </w:p>
    <w:p w14:paraId="72D9D906" w14:textId="29ABAF60" w:rsidR="0062547A" w:rsidRDefault="0062547A" w:rsidP="0062547A">
      <w:r>
        <w:t>Zur Erinnerung: Der Code wird am Ende des Zyklus angezeigt, bis der Bediener eine Batterie wieder anschließt oder das Gerät ausschaltet.</w:t>
      </w:r>
    </w:p>
    <w:p w14:paraId="3A73B62A" w14:textId="71C26C9C" w:rsidR="0062547A" w:rsidRDefault="0062547A" w:rsidP="0062547A">
      <w:r w:rsidRPr="0062547A">
        <w:rPr>
          <w:noProof/>
        </w:rPr>
        <w:lastRenderedPageBreak/>
        <w:drawing>
          <wp:inline distT="0" distB="0" distL="0" distR="0" wp14:anchorId="1794A347" wp14:editId="2D550AEB">
            <wp:extent cx="2857500" cy="21526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E128" w14:textId="29D94029" w:rsidR="0062547A" w:rsidRDefault="0062547A" w:rsidP="0062547A">
      <w:r>
        <w:t>Der Code und die Ergebnisse werden im Gerätespeicher gespeichert.</w:t>
      </w:r>
    </w:p>
    <w:p w14:paraId="2A73D455" w14:textId="3C386097" w:rsidR="0062547A" w:rsidRDefault="0062547A" w:rsidP="0062547A">
      <w:r>
        <w:t>Wenn der Bediener es an OPTIMUS (PC-Software) anschließt, werden die Ergebnisse automatisch an ARGOS übertragen (und sind auch über das Internet zugänglich).</w:t>
      </w:r>
    </w:p>
    <w:p w14:paraId="21001DFC" w14:textId="0B5006FB" w:rsidR="0062547A" w:rsidRDefault="0062547A" w:rsidP="0062547A">
      <w:r w:rsidRPr="00145541">
        <w:rPr>
          <w:noProof/>
          <w:sz w:val="20"/>
          <w:szCs w:val="20"/>
        </w:rPr>
        <w:drawing>
          <wp:inline distT="0" distB="0" distL="0" distR="0" wp14:anchorId="5AF8B4A3" wp14:editId="55B8C83B">
            <wp:extent cx="6591300" cy="3612181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09" cy="364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2E14" w14:textId="45160803" w:rsidR="00964A36" w:rsidRDefault="00964A36" w:rsidP="00964A36">
      <w:r>
        <w:t>So dekodieren Sie es für Qualitätsteams:</w:t>
      </w:r>
    </w:p>
    <w:p w14:paraId="2281BE96" w14:textId="2422EFCA" w:rsidR="00964A36" w:rsidRDefault="00964A36" w:rsidP="00964A36">
      <w:r>
        <w:t>Über einen einfachen Internetzugang und ein ARGOS-Konto über www.e-xteq.com mit einem PC oder einem Smartphone (</w:t>
      </w:r>
      <w:r w:rsidR="00C43486">
        <w:t>sie</w:t>
      </w:r>
      <w:r>
        <w:t xml:space="preserve"> müssen uns die Liste der autorisierten Personen mitteilen, damit wir ihnen die Zugriffsrechte für den Decoder gewähren).</w:t>
      </w:r>
    </w:p>
    <w:p w14:paraId="18288E52" w14:textId="14B0162A" w:rsidR="0062547A" w:rsidRDefault="00145541" w:rsidP="00964A36">
      <w:hyperlink r:id="rId9" w:anchor="/warrantycode" w:history="1">
        <w:r w:rsidR="00964A36" w:rsidRPr="00BD4D8A">
          <w:rPr>
            <w:rStyle w:val="Hyperlink"/>
          </w:rPr>
          <w:t>https://prod.e-xteq.com/argosv2#/warrantycode</w:t>
        </w:r>
      </w:hyperlink>
    </w:p>
    <w:p w14:paraId="1136E35D" w14:textId="3CDDF587" w:rsidR="00964A36" w:rsidRDefault="00964A36" w:rsidP="00964A36">
      <w:r w:rsidRPr="00964A36">
        <w:rPr>
          <w:noProof/>
        </w:rPr>
        <w:lastRenderedPageBreak/>
        <w:drawing>
          <wp:inline distT="0" distB="0" distL="0" distR="0" wp14:anchorId="7F192E1B" wp14:editId="08EC54F9">
            <wp:extent cx="6643336" cy="3638550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06" cy="364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11296" w14:textId="1499388A" w:rsidR="00964A36" w:rsidRDefault="00964A36" w:rsidP="00964A36">
      <w:r w:rsidRPr="00964A36">
        <w:rPr>
          <w:noProof/>
        </w:rPr>
        <w:drawing>
          <wp:inline distT="0" distB="0" distL="0" distR="0" wp14:anchorId="40B5FE67" wp14:editId="78D07498">
            <wp:extent cx="2200275" cy="46577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FAB18" w14:textId="77777777" w:rsidR="00C67788" w:rsidRDefault="00C67788" w:rsidP="00964A36"/>
    <w:p w14:paraId="493F5B8D" w14:textId="77777777" w:rsidR="00C67788" w:rsidRDefault="00C67788" w:rsidP="00964A36"/>
    <w:p w14:paraId="2E7D2629" w14:textId="77777777" w:rsidR="00C67788" w:rsidRDefault="00C67788" w:rsidP="00964A36"/>
    <w:p w14:paraId="7F4B3A0A" w14:textId="77777777" w:rsidR="00C67788" w:rsidRDefault="00C67788" w:rsidP="00964A36"/>
    <w:p w14:paraId="560B690F" w14:textId="77777777" w:rsidR="00C67788" w:rsidRDefault="00C67788" w:rsidP="00964A36"/>
    <w:p w14:paraId="031A2826" w14:textId="77777777" w:rsidR="00C67788" w:rsidRDefault="00C67788" w:rsidP="00964A36"/>
    <w:p w14:paraId="43514F45" w14:textId="77777777" w:rsidR="00C67788" w:rsidRDefault="00C67788" w:rsidP="00964A36"/>
    <w:p w14:paraId="36B80F06" w14:textId="77777777" w:rsidR="00C67788" w:rsidRDefault="00C67788" w:rsidP="00964A36"/>
    <w:p w14:paraId="0273EBE4" w14:textId="77777777" w:rsidR="00C67788" w:rsidRDefault="00C67788" w:rsidP="00964A36"/>
    <w:p w14:paraId="472B2449" w14:textId="77777777" w:rsidR="00C67788" w:rsidRDefault="00C67788" w:rsidP="00964A36"/>
    <w:p w14:paraId="113120F8" w14:textId="77777777" w:rsidR="00C67788" w:rsidRDefault="00C67788" w:rsidP="00964A36"/>
    <w:p w14:paraId="0690C39B" w14:textId="77777777" w:rsidR="00C67788" w:rsidRDefault="00C67788" w:rsidP="00964A36"/>
    <w:p w14:paraId="4E62A315" w14:textId="77777777" w:rsidR="00C67788" w:rsidRDefault="00C67788" w:rsidP="00964A36"/>
    <w:p w14:paraId="4BEA5BBF" w14:textId="77777777" w:rsidR="00C67788" w:rsidRDefault="00C67788" w:rsidP="00964A36"/>
    <w:p w14:paraId="26DCA447" w14:textId="77777777" w:rsidR="00C67788" w:rsidRDefault="00C67788" w:rsidP="00964A36"/>
    <w:p w14:paraId="5FEAE4B7" w14:textId="799702F1" w:rsidR="00964A36" w:rsidRDefault="00964A36" w:rsidP="00964A36">
      <w:r>
        <w:t>BC512 Wagen:</w:t>
      </w:r>
    </w:p>
    <w:p w14:paraId="008A7922" w14:textId="74A2F772" w:rsidR="00964A36" w:rsidRDefault="00964A36" w:rsidP="00964A36">
      <w:r>
        <w:t>Vollmetallgehäuse 220 / 100V Doppelsteckdose und x2 USB-Anschlüsse.</w:t>
      </w:r>
    </w:p>
    <w:p w14:paraId="5B55CDB7" w14:textId="44F198D7" w:rsidR="00964A36" w:rsidRDefault="00964A36" w:rsidP="00964A36">
      <w:r>
        <w:t>Löcher zur Befestigung des BC512 V2 unten (die V1 Bl</w:t>
      </w:r>
      <w:r w:rsidR="006E33BC">
        <w:t>aue</w:t>
      </w:r>
      <w:r>
        <w:t>-Version kann im oberen Teil der Platte platziert werden. Die Magnete dieser Version befinden sich unten, siehe Foto unten).</w:t>
      </w:r>
    </w:p>
    <w:p w14:paraId="551AB483" w14:textId="14340B1E" w:rsidR="00964A36" w:rsidRDefault="00964A36" w:rsidP="00964A36">
      <w:r>
        <w:t>Verlängerung 10m</w:t>
      </w:r>
    </w:p>
    <w:p w14:paraId="3981CBAB" w14:textId="6A6725AD" w:rsidR="00964A36" w:rsidRDefault="00964A36" w:rsidP="00964A36">
      <w:r w:rsidRPr="00964A36">
        <w:rPr>
          <w:noProof/>
        </w:rPr>
        <w:drawing>
          <wp:inline distT="0" distB="0" distL="0" distR="0" wp14:anchorId="6031F8FC" wp14:editId="78E7A9B9">
            <wp:extent cx="8420100" cy="37242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4A12" w14:textId="77777777" w:rsidR="0062547A" w:rsidRDefault="0062547A" w:rsidP="0062547A"/>
    <w:p w14:paraId="56C0488A" w14:textId="77777777" w:rsidR="0062547A" w:rsidRDefault="0062547A" w:rsidP="0062547A"/>
    <w:p w14:paraId="6400A9C3" w14:textId="77777777" w:rsidR="0062547A" w:rsidRDefault="0062547A" w:rsidP="0062547A"/>
    <w:sectPr w:rsidR="00625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A7"/>
    <w:rsid w:val="00145541"/>
    <w:rsid w:val="001F5530"/>
    <w:rsid w:val="0062547A"/>
    <w:rsid w:val="006E33BC"/>
    <w:rsid w:val="007E09A7"/>
    <w:rsid w:val="00964A36"/>
    <w:rsid w:val="00A23CB6"/>
    <w:rsid w:val="00C43486"/>
    <w:rsid w:val="00C67788"/>
    <w:rsid w:val="00E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1FF7"/>
  <w15:chartTrackingRefBased/>
  <w15:docId w15:val="{6B47CEF1-E00A-4A6C-8110-D36D5607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4A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4A36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4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4A3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43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prod.e-xteq.com/argosv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Hemgesberg</dc:creator>
  <cp:keywords/>
  <dc:description/>
  <cp:lastModifiedBy>Julia Hemgesberg</cp:lastModifiedBy>
  <cp:revision>3</cp:revision>
  <dcterms:created xsi:type="dcterms:W3CDTF">2020-05-26T12:55:00Z</dcterms:created>
  <dcterms:modified xsi:type="dcterms:W3CDTF">2020-05-26T13:15:00Z</dcterms:modified>
</cp:coreProperties>
</file>